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4575" w:type="dxa"/>
        <w:jc w:val="left"/>
        <w:tblInd w:w="0" w:type="dxa"/>
        <w:tblLayout w:type="fixed"/>
        <w:tblCellMar>
          <w:top w:w="0" w:type="dxa"/>
          <w:left w:w="28" w:type="dxa"/>
          <w:bottom w:w="0" w:type="dxa"/>
          <w:right w:w="28" w:type="dxa"/>
        </w:tblCellMar>
      </w:tblPr>
      <w:tblGrid>
        <w:gridCol w:w="4262"/>
        <w:gridCol w:w="5403"/>
        <w:gridCol w:w="4910"/>
      </w:tblGrid>
      <w:tr>
        <w:trPr>
          <w:trHeight w:val="283" w:hRule="atLeast"/>
        </w:trPr>
        <w:tc>
          <w:tcPr>
            <w:tcW w:w="4262" w:type="dxa"/>
            <w:tcBorders/>
          </w:tcPr>
          <w:p>
            <w:pPr>
              <w:pStyle w:val="TableContents"/>
              <w:pageBreakBefore/>
              <w:jc w:val="both"/>
              <w:rPr>
                <w:rFonts w:ascii="Times New Roman" w:hAnsi="Times New Roman" w:eastAsia="Times New Roman" w:cs="Times New Roman"/>
                <w:sz w:val="28"/>
                <w:szCs w:val="28"/>
                <w:lang w:val="ru-RU"/>
              </w:rPr>
            </w:pPr>
            <w:r>
              <w:rPr>
                <w:rFonts w:eastAsia="Times New Roman" w:cs="Times New Roman" w:ascii="Times New Roman" w:hAnsi="Times New Roman"/>
                <w:sz w:val="28"/>
                <w:szCs w:val="28"/>
                <w:lang w:val="ru-RU"/>
              </w:rPr>
            </w:r>
          </w:p>
        </w:tc>
        <w:tc>
          <w:tcPr>
            <w:tcW w:w="5403" w:type="dxa"/>
            <w:tcBorders/>
            <w:tcMar>
              <w:left w:w="10" w:type="dxa"/>
              <w:right w:w="10" w:type="dxa"/>
            </w:tcMar>
          </w:tcPr>
          <w:p>
            <w:pPr>
              <w:pStyle w:val="Normal"/>
              <w:widowControl w:val="false"/>
              <w:numPr>
                <w:ilvl w:val="0"/>
                <w:numId w:val="0"/>
              </w:numPr>
              <w:tabs>
                <w:tab w:val="clear" w:pos="709"/>
                <w:tab w:val="left" w:pos="565" w:leader="none"/>
              </w:tabs>
              <w:suppressAutoHyphens w:val="true"/>
              <w:bidi w:val="0"/>
              <w:spacing w:lineRule="auto" w:line="240" w:before="0" w:after="0"/>
              <w:ind w:hanging="0" w:left="0" w:right="0"/>
              <w:jc w:val="center"/>
              <w:textAlignment w:val="baseline"/>
              <w:rPr>
                <w:rFonts w:ascii="Liberation Serif" w:hAnsi="Liberation Serif" w:eastAsia="Andale Sans UI" w:cs="Times New Roman"/>
                <w:color w:val="FFFFFF"/>
                <w:kern w:val="2"/>
                <w:sz w:val="28"/>
                <w:szCs w:val="28"/>
                <w:shd w:fill="FFFFFF" w:val="clear"/>
                <w:lang w:val="de-DE" w:eastAsia="ja-JP" w:bidi="fa-IR"/>
              </w:rPr>
            </w:pPr>
            <w:r>
              <w:rPr>
                <w:rFonts w:eastAsia="Andale Sans UI" w:cs="Times New Roman"/>
                <w:color w:val="FFFFFF"/>
                <w:kern w:val="2"/>
                <w:sz w:val="28"/>
                <w:szCs w:val="28"/>
                <w:shd w:fill="FFFFFF" w:val="clear"/>
                <w:lang w:val="de-DE" w:eastAsia="ja-JP" w:bidi="fa-IR"/>
              </w:rPr>
            </w:r>
          </w:p>
        </w:tc>
        <w:tc>
          <w:tcPr>
            <w:tcW w:w="4910" w:type="dxa"/>
            <w:tcBorders/>
            <w:tcMar>
              <w:top w:w="55" w:type="dxa"/>
              <w:left w:w="55" w:type="dxa"/>
              <w:bottom w:w="55" w:type="dxa"/>
              <w:right w:w="55" w:type="dxa"/>
            </w:tcMar>
            <w:vAlign w:val="center"/>
          </w:tcPr>
          <w:p>
            <w:pPr>
              <w:pStyle w:val="Normal"/>
              <w:numPr>
                <w:ilvl w:val="0"/>
                <w:numId w:val="0"/>
              </w:numPr>
              <w:ind w:hanging="0" w:left="0" w:right="0"/>
              <w:jc w:val="left"/>
              <w:rPr/>
            </w:pPr>
            <w:r>
              <w:rPr>
                <w:rFonts w:ascii="Times New Roman" w:hAnsi="Times New Roman"/>
                <w:sz w:val="28"/>
                <w:szCs w:val="28"/>
                <w:lang w:val="ru-RU"/>
              </w:rPr>
              <w:t xml:space="preserve">Приложение </w:t>
            </w:r>
            <w:r>
              <w:rPr>
                <w:rFonts w:ascii="Times New Roman" w:hAnsi="Times New Roman"/>
                <w:sz w:val="28"/>
                <w:szCs w:val="28"/>
                <w:lang w:val="en-US"/>
              </w:rPr>
              <w:t>8</w:t>
            </w:r>
          </w:p>
          <w:p>
            <w:pPr>
              <w:pStyle w:val="Normal"/>
              <w:numPr>
                <w:ilvl w:val="0"/>
                <w:numId w:val="0"/>
              </w:numPr>
              <w:ind w:hanging="0" w:left="0" w:right="0"/>
              <w:jc w:val="left"/>
              <w:rPr>
                <w:rFonts w:ascii="Times New Roman" w:hAnsi="Times New Roman"/>
                <w:sz w:val="28"/>
                <w:szCs w:val="28"/>
                <w:lang w:val="ru-RU"/>
              </w:rPr>
            </w:pPr>
            <w:r>
              <w:rPr>
                <w:rFonts w:ascii="Times New Roman" w:hAnsi="Times New Roman"/>
                <w:sz w:val="28"/>
                <w:szCs w:val="28"/>
                <w:lang w:val="ru-RU"/>
              </w:rPr>
              <w:t>к административному</w:t>
            </w:r>
          </w:p>
          <w:p>
            <w:pPr>
              <w:pStyle w:val="Normal"/>
              <w:numPr>
                <w:ilvl w:val="0"/>
                <w:numId w:val="0"/>
              </w:numPr>
              <w:ind w:hanging="0" w:left="0" w:right="0"/>
              <w:jc w:val="left"/>
              <w:rPr>
                <w:rFonts w:ascii="Times New Roman" w:hAnsi="Times New Roman"/>
                <w:sz w:val="28"/>
                <w:szCs w:val="28"/>
                <w:lang w:val="ru-RU"/>
              </w:rPr>
            </w:pPr>
            <w:r>
              <w:rPr>
                <w:rFonts w:ascii="Times New Roman" w:hAnsi="Times New Roman"/>
                <w:sz w:val="28"/>
                <w:szCs w:val="28"/>
                <w:lang w:val="ru-RU"/>
              </w:rPr>
              <w:t>регламенту предоставления</w:t>
            </w:r>
          </w:p>
          <w:p>
            <w:pPr>
              <w:pStyle w:val="Normal"/>
              <w:numPr>
                <w:ilvl w:val="0"/>
                <w:numId w:val="0"/>
              </w:numPr>
              <w:ind w:hanging="0" w:left="0" w:right="0"/>
              <w:jc w:val="left"/>
              <w:rPr>
                <w:rFonts w:ascii="Times New Roman" w:hAnsi="Times New Roman"/>
                <w:sz w:val="28"/>
                <w:szCs w:val="28"/>
                <w:lang w:val="ru-RU"/>
              </w:rPr>
            </w:pPr>
            <w:r>
              <w:rPr>
                <w:rFonts w:ascii="Times New Roman" w:hAnsi="Times New Roman"/>
                <w:sz w:val="28"/>
                <w:szCs w:val="28"/>
                <w:lang w:val="ru-RU"/>
              </w:rPr>
              <w:t>муниципальной услуги «Признание</w:t>
            </w:r>
          </w:p>
          <w:p>
            <w:pPr>
              <w:pStyle w:val="Normal"/>
              <w:numPr>
                <w:ilvl w:val="0"/>
                <w:numId w:val="0"/>
              </w:numPr>
              <w:ind w:hanging="0" w:left="0" w:right="0"/>
              <w:jc w:val="left"/>
              <w:rPr>
                <w:rFonts w:ascii="Times New Roman" w:hAnsi="Times New Roman"/>
                <w:sz w:val="28"/>
                <w:szCs w:val="28"/>
                <w:lang w:val="ru-RU"/>
              </w:rPr>
            </w:pPr>
            <w:r>
              <w:rPr>
                <w:rFonts w:ascii="Times New Roman" w:hAnsi="Times New Roman"/>
                <w:sz w:val="28"/>
                <w:szCs w:val="28"/>
                <w:lang w:val="ru-RU"/>
              </w:rPr>
              <w:t>садового дома жилым домом</w:t>
            </w:r>
          </w:p>
          <w:p>
            <w:pPr>
              <w:pStyle w:val="Normal"/>
              <w:numPr>
                <w:ilvl w:val="0"/>
                <w:numId w:val="0"/>
              </w:numPr>
              <w:ind w:hanging="0" w:left="0" w:right="0"/>
              <w:jc w:val="left"/>
              <w:rPr>
                <w:rFonts w:ascii="Times New Roman" w:hAnsi="Times New Roman"/>
                <w:sz w:val="28"/>
                <w:szCs w:val="28"/>
                <w:lang w:val="ru-RU"/>
              </w:rPr>
            </w:pPr>
            <w:r>
              <w:rPr>
                <w:rFonts w:ascii="Times New Roman" w:hAnsi="Times New Roman"/>
                <w:sz w:val="28"/>
                <w:szCs w:val="28"/>
                <w:lang w:val="ru-RU"/>
              </w:rPr>
              <w:t>и жилого дома садовым домом»,</w:t>
            </w:r>
          </w:p>
          <w:p>
            <w:pPr>
              <w:pStyle w:val="Normal"/>
              <w:numPr>
                <w:ilvl w:val="0"/>
                <w:numId w:val="0"/>
              </w:numPr>
              <w:ind w:hanging="0" w:left="0" w:right="0"/>
              <w:jc w:val="left"/>
              <w:rPr>
                <w:rFonts w:ascii="Times New Roman" w:hAnsi="Times New Roman"/>
                <w:sz w:val="28"/>
                <w:szCs w:val="28"/>
                <w:lang w:val="ru-RU"/>
              </w:rPr>
            </w:pPr>
            <w:r>
              <w:rPr>
                <w:rFonts w:ascii="Times New Roman" w:hAnsi="Times New Roman"/>
                <w:sz w:val="28"/>
                <w:szCs w:val="28"/>
                <w:lang w:val="ru-RU"/>
              </w:rPr>
              <w:t>утвержденному постановлением</w:t>
            </w:r>
          </w:p>
          <w:p>
            <w:pPr>
              <w:pStyle w:val="Normal"/>
              <w:numPr>
                <w:ilvl w:val="0"/>
                <w:numId w:val="0"/>
              </w:numPr>
              <w:ind w:hanging="0" w:left="0" w:right="0"/>
              <w:jc w:val="left"/>
              <w:rPr>
                <w:rFonts w:ascii="Times New Roman" w:hAnsi="Times New Roman"/>
                <w:sz w:val="28"/>
                <w:szCs w:val="28"/>
                <w:lang w:val="ru-RU"/>
              </w:rPr>
            </w:pPr>
            <w:r>
              <w:rPr>
                <w:rFonts w:ascii="Times New Roman" w:hAnsi="Times New Roman"/>
                <w:sz w:val="28"/>
                <w:szCs w:val="28"/>
                <w:lang w:val="ru-RU"/>
              </w:rPr>
              <w:t>Администрации Одинцовского</w:t>
            </w:r>
          </w:p>
          <w:p>
            <w:pPr>
              <w:pStyle w:val="Normal"/>
              <w:numPr>
                <w:ilvl w:val="0"/>
                <w:numId w:val="0"/>
              </w:numPr>
              <w:ind w:hanging="0" w:left="0" w:right="0"/>
              <w:jc w:val="left"/>
              <w:rPr>
                <w:rFonts w:ascii="Times New Roman" w:hAnsi="Times New Roman"/>
                <w:sz w:val="28"/>
                <w:szCs w:val="28"/>
                <w:lang w:val="ru-RU"/>
              </w:rPr>
            </w:pPr>
            <w:r>
              <w:rPr>
                <w:rFonts w:ascii="Times New Roman" w:hAnsi="Times New Roman"/>
                <w:sz w:val="28"/>
                <w:szCs w:val="28"/>
                <w:lang w:val="ru-RU"/>
              </w:rPr>
              <w:t>городского округа</w:t>
            </w:r>
          </w:p>
          <w:p>
            <w:pPr>
              <w:pStyle w:val="Normal"/>
              <w:numPr>
                <w:ilvl w:val="0"/>
                <w:numId w:val="0"/>
              </w:numPr>
              <w:ind w:hanging="0" w:left="0" w:right="0"/>
              <w:jc w:val="left"/>
              <w:rPr>
                <w:rFonts w:ascii="Times New Roman" w:hAnsi="Times New Roman"/>
                <w:sz w:val="28"/>
                <w:szCs w:val="28"/>
                <w:lang w:val="ru-RU"/>
              </w:rPr>
            </w:pPr>
            <w:r>
              <w:rPr>
                <w:rFonts w:ascii="Times New Roman" w:hAnsi="Times New Roman"/>
                <w:sz w:val="28"/>
                <w:szCs w:val="28"/>
                <w:lang w:val="ru-RU"/>
              </w:rPr>
              <w:t>Московской области</w:t>
            </w:r>
          </w:p>
          <w:p>
            <w:pPr>
              <w:pStyle w:val="Normal"/>
              <w:numPr>
                <w:ilvl w:val="0"/>
                <w:numId w:val="0"/>
              </w:numPr>
              <w:ind w:hanging="0" w:left="0" w:right="0"/>
              <w:jc w:val="left"/>
              <w:rPr>
                <w:rFonts w:ascii="Times New Roman" w:hAnsi="Times New Roman" w:eastAsia="Calibri"/>
                <w:b w:val="false"/>
                <w:bCs w:val="false"/>
                <w:color w:val="FFFFFF"/>
                <w:spacing w:val="10"/>
                <w:sz w:val="28"/>
                <w:szCs w:val="28"/>
                <w:lang w:val="ru-RU"/>
              </w:rPr>
            </w:pPr>
            <w:r>
              <w:rPr>
                <w:rFonts w:eastAsia="Calibri" w:ascii="Times New Roman" w:hAnsi="Times New Roman"/>
                <w:b w:val="false"/>
                <w:bCs w:val="false"/>
                <w:color w:val="FFFFFF"/>
                <w:spacing w:val="10"/>
                <w:sz w:val="28"/>
                <w:szCs w:val="28"/>
                <w:lang w:val="ru-RU"/>
              </w:rPr>
              <w:t>$orderNum$</w:t>
            </w:r>
          </w:p>
        </w:tc>
      </w:tr>
    </w:tbl>
    <w:p>
      <w:pPr>
        <w:pStyle w:val="Normal"/>
        <w:jc w:val="right"/>
        <w:rPr>
          <w:lang w:val="ru-RU"/>
        </w:rPr>
      </w:pPr>
      <w:r>
        <w:rPr>
          <w:lang w:val="ru-RU"/>
        </w:rPr>
      </w:r>
    </w:p>
    <w:p>
      <w:pPr>
        <w:pStyle w:val="Style9"/>
        <w:bidi w:val="0"/>
        <w:ind w:hanging="0" w:left="0" w:right="0"/>
        <w:jc w:val="center"/>
        <w:rPr/>
      </w:pPr>
      <w:r>
        <w:rPr>
          <w:rStyle w:val="Style8"/>
          <w:b w:val="false"/>
          <w:bCs w:val="false"/>
          <w:sz w:val="28"/>
          <w:szCs w:val="28"/>
          <w:lang w:val="ru-RU" w:eastAsia="ru-RU"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pPr>
        <w:pStyle w:val="Style9"/>
        <w:bidi w:val="0"/>
        <w:ind w:hanging="0" w:left="0" w:right="0"/>
        <w:jc w:val="center"/>
        <w:rPr/>
      </w:pPr>
      <w:r>
        <w:rPr/>
      </w:r>
    </w:p>
    <w:p>
      <w:pPr>
        <w:sectPr>
          <w:type w:val="nextPage"/>
          <w:pgSz w:orient="landscape" w:w="16838" w:h="11906"/>
          <w:pgMar w:left="1134" w:right="1134" w:gutter="0" w:header="0" w:top="1134" w:footer="0" w:bottom="1134"/>
          <w:pgNumType w:fmt="decimal"/>
          <w:formProt w:val="false"/>
          <w:textDirection w:val="lrTb"/>
          <w:docGrid w:type="default" w:linePitch="312" w:charSpace="4294961151"/>
        </w:sectPr>
      </w:pPr>
    </w:p>
    <w:p>
      <w:pPr>
        <w:pStyle w:val="Normal"/>
        <w:bidi w:val="0"/>
        <w:ind w:firstLine="720" w:left="0" w:right="0"/>
        <w:jc w:val="center"/>
        <w:rPr>
          <w:sz w:val="28"/>
          <w:szCs w:val="28"/>
        </w:rPr>
      </w:pPr>
      <w:r>
        <w:rPr>
          <w:sz w:val="28"/>
          <w:szCs w:val="28"/>
        </w:rPr>
        <w:t>Исчерпывающий перечень оснований для отказа в приеме заявления и документов,</w:t>
      </w:r>
    </w:p>
    <w:p>
      <w:pPr>
        <w:pStyle w:val="Normal"/>
        <w:bidi w:val="0"/>
        <w:ind w:firstLine="720" w:left="0" w:right="0"/>
        <w:jc w:val="center"/>
        <w:rPr>
          <w:sz w:val="28"/>
          <w:szCs w:val="28"/>
        </w:rPr>
      </w:pPr>
      <w:r>
        <w:rPr>
          <w:sz w:val="28"/>
          <w:szCs w:val="28"/>
        </w:rPr>
        <w:t>необходимых для предоставления Услуги</w:t>
      </w:r>
    </w:p>
    <w:p>
      <w:pPr>
        <w:pStyle w:val="Normal"/>
        <w:bidi w:val="0"/>
        <w:ind w:firstLine="720" w:left="0" w:right="0"/>
        <w:jc w:val="center"/>
        <w:rPr>
          <w:sz w:val="28"/>
          <w:szCs w:val="28"/>
        </w:rPr>
      </w:pPr>
      <w:r>
        <w:rPr>
          <w:sz w:val="28"/>
          <w:szCs w:val="28"/>
        </w:rPr>
      </w:r>
    </w:p>
    <w:tbl>
      <w:tblPr>
        <w:tblW w:w="14585" w:type="dxa"/>
        <w:jc w:val="left"/>
        <w:tblInd w:w="-15" w:type="dxa"/>
        <w:tblLayout w:type="fixed"/>
        <w:tblCellMar>
          <w:top w:w="0" w:type="dxa"/>
          <w:left w:w="108" w:type="dxa"/>
          <w:bottom w:w="0" w:type="dxa"/>
          <w:right w:w="108" w:type="dxa"/>
        </w:tblCellMar>
      </w:tblPr>
      <w:tblGrid>
        <w:gridCol w:w="796"/>
        <w:gridCol w:w="10353"/>
        <w:gridCol w:w="3436"/>
      </w:tblGrid>
      <w:tr>
        <w:trPr/>
        <w:tc>
          <w:tcPr>
            <w:tcW w:w="796" w:type="dxa"/>
            <w:tcBorders>
              <w:top w:val="single" w:sz="4" w:space="0" w:color="000000"/>
              <w:left w:val="single" w:sz="4" w:space="0" w:color="000000"/>
            </w:tcBorders>
          </w:tcPr>
          <w:p>
            <w:pPr>
              <w:pStyle w:val="Style10"/>
              <w:widowControl w:val="false"/>
              <w:tabs>
                <w:tab w:val="clear" w:pos="709"/>
              </w:tabs>
              <w:bidi w:val="0"/>
              <w:ind w:hanging="0" w:left="0" w:right="0"/>
              <w:jc w:val="center"/>
              <w:rPr>
                <w:sz w:val="28"/>
                <w:szCs w:val="28"/>
              </w:rPr>
            </w:pPr>
            <w:r>
              <w:rPr>
                <w:sz w:val="28"/>
                <w:szCs w:val="28"/>
              </w:rPr>
              <w:t>№</w:t>
            </w:r>
          </w:p>
        </w:tc>
        <w:tc>
          <w:tcPr>
            <w:tcW w:w="10353" w:type="dxa"/>
            <w:tcBorders>
              <w:top w:val="single" w:sz="4" w:space="0" w:color="000000"/>
              <w:left w:val="single" w:sz="4" w:space="0" w:color="000000"/>
            </w:tcBorders>
          </w:tcPr>
          <w:p>
            <w:pPr>
              <w:pStyle w:val="Style9"/>
              <w:widowControl w:val="false"/>
              <w:tabs>
                <w:tab w:val="clear" w:pos="709"/>
              </w:tabs>
              <w:bidi w:val="0"/>
              <w:ind w:hanging="0" w:left="0" w:right="0"/>
              <w:jc w:val="center"/>
              <w:rPr>
                <w:sz w:val="28"/>
                <w:szCs w:val="28"/>
              </w:rPr>
            </w:pPr>
            <w:r>
              <w:rPr>
                <w:sz w:val="28"/>
                <w:szCs w:val="28"/>
              </w:rPr>
              <w:t>Перечень оснований</w:t>
            </w:r>
          </w:p>
        </w:tc>
        <w:tc>
          <w:tcPr>
            <w:tcW w:w="3436" w:type="dxa"/>
            <w:tcBorders>
              <w:top w:val="single" w:sz="4" w:space="0" w:color="000000"/>
              <w:left w:val="single" w:sz="4" w:space="0" w:color="000000"/>
              <w:right w:val="single" w:sz="4" w:space="0" w:color="000000"/>
            </w:tcBorders>
          </w:tcPr>
          <w:p>
            <w:pPr>
              <w:pStyle w:val="Style9"/>
              <w:widowControl w:val="false"/>
              <w:tabs>
                <w:tab w:val="clear" w:pos="709"/>
              </w:tabs>
              <w:bidi w:val="0"/>
              <w:ind w:hanging="0" w:left="0" w:right="0"/>
              <w:jc w:val="center"/>
              <w:rPr>
                <w:sz w:val="28"/>
                <w:szCs w:val="28"/>
              </w:rPr>
            </w:pPr>
            <w:r>
              <w:rPr>
                <w:sz w:val="28"/>
                <w:szCs w:val="28"/>
              </w:rPr>
              <w:t>Идентификатор категорий (признаков) заявителей</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1.</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2.</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3.</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4.</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наличие противоречивых сведений в запросе и приложенных к нему документах</w:t>
            </w:r>
          </w:p>
        </w:tc>
        <w:tc>
          <w:tcPr>
            <w:tcW w:w="343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5.</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6.</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7.</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8.</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9.</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10.</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43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11.</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bl>
    <w:p>
      <w:pPr>
        <w:pStyle w:val="Normal"/>
        <w:widowControl w:val="false"/>
        <w:bidi w:val="0"/>
        <w:ind w:firstLine="720" w:left="0" w:right="0"/>
        <w:rPr>
          <w:vanish/>
          <w:sz w:val="28"/>
          <w:szCs w:val="28"/>
        </w:rPr>
      </w:pPr>
      <w:r>
        <w:rPr>
          <w:vanish/>
          <w:sz w:val="28"/>
          <w:szCs w:val="28"/>
        </w:rPr>
      </w:r>
    </w:p>
    <w:p>
      <w:pPr>
        <w:sectPr>
          <w:type w:val="continuous"/>
          <w:pgSz w:orient="landscape" w:w="16838" w:h="11906"/>
          <w:pgMar w:left="1134" w:right="1134" w:gutter="0" w:header="0" w:top="1134" w:footer="0" w:bottom="1134"/>
          <w:formProt w:val="false"/>
          <w:textDirection w:val="lrTb"/>
          <w:docGrid w:type="default" w:linePitch="312" w:charSpace="4294961151"/>
        </w:sectPr>
      </w:pPr>
    </w:p>
    <w:p>
      <w:pPr>
        <w:pStyle w:val="Normal"/>
        <w:bidi w:val="0"/>
        <w:ind w:firstLine="720" w:left="0" w:right="0"/>
        <w:jc w:val="center"/>
        <w:rPr>
          <w:sz w:val="28"/>
          <w:szCs w:val="28"/>
        </w:rPr>
      </w:pPr>
      <w:r>
        <w:rPr>
          <w:sz w:val="28"/>
          <w:szCs w:val="28"/>
        </w:rPr>
      </w:r>
    </w:p>
    <w:p>
      <w:pPr>
        <w:pStyle w:val="Normal"/>
        <w:bidi w:val="0"/>
        <w:ind w:firstLine="720" w:left="0" w:right="0"/>
        <w:jc w:val="center"/>
        <w:rPr>
          <w:sz w:val="28"/>
          <w:szCs w:val="28"/>
        </w:rPr>
      </w:pPr>
      <w:r>
        <w:rPr>
          <w:sz w:val="28"/>
          <w:szCs w:val="28"/>
        </w:rPr>
      </w:r>
    </w:p>
    <w:p>
      <w:pPr>
        <w:pStyle w:val="Normal"/>
        <w:bidi w:val="0"/>
        <w:ind w:firstLine="720" w:left="0" w:right="0"/>
        <w:jc w:val="center"/>
        <w:rPr>
          <w:sz w:val="28"/>
          <w:szCs w:val="28"/>
        </w:rPr>
      </w:pPr>
      <w:r>
        <w:rPr>
          <w:sz w:val="28"/>
          <w:szCs w:val="28"/>
        </w:rPr>
        <w:t>Исчерпывающий перечень оснований для отказа в предоставлении Услуги</w:t>
      </w:r>
    </w:p>
    <w:p>
      <w:pPr>
        <w:pStyle w:val="Normal"/>
        <w:bidi w:val="0"/>
        <w:ind w:firstLine="720" w:left="0" w:right="0"/>
        <w:jc w:val="center"/>
        <w:rPr>
          <w:sz w:val="28"/>
          <w:szCs w:val="28"/>
        </w:rPr>
      </w:pPr>
      <w:r>
        <w:rPr>
          <w:sz w:val="28"/>
          <w:szCs w:val="28"/>
        </w:rPr>
      </w:r>
    </w:p>
    <w:tbl>
      <w:tblPr>
        <w:tblW w:w="14575" w:type="dxa"/>
        <w:jc w:val="left"/>
        <w:tblInd w:w="-15" w:type="dxa"/>
        <w:tblLayout w:type="fixed"/>
        <w:tblCellMar>
          <w:top w:w="0" w:type="dxa"/>
          <w:left w:w="108" w:type="dxa"/>
          <w:bottom w:w="0" w:type="dxa"/>
          <w:right w:w="108" w:type="dxa"/>
        </w:tblCellMar>
      </w:tblPr>
      <w:tblGrid>
        <w:gridCol w:w="796"/>
        <w:gridCol w:w="10353"/>
        <w:gridCol w:w="3426"/>
      </w:tblGrid>
      <w:tr>
        <w:trPr/>
        <w:tc>
          <w:tcPr>
            <w:tcW w:w="796" w:type="dxa"/>
            <w:tcBorders>
              <w:top w:val="single" w:sz="4" w:space="0" w:color="000000"/>
              <w:left w:val="single" w:sz="4" w:space="0" w:color="000000"/>
              <w:bottom w:val="single" w:sz="4" w:space="0" w:color="000000"/>
            </w:tcBorders>
          </w:tcPr>
          <w:p>
            <w:pPr>
              <w:pStyle w:val="Style9"/>
              <w:widowControl w:val="false"/>
              <w:bidi w:val="0"/>
              <w:ind w:hanging="0" w:left="0" w:right="0"/>
              <w:jc w:val="center"/>
              <w:rPr>
                <w:sz w:val="28"/>
                <w:szCs w:val="28"/>
              </w:rPr>
            </w:pPr>
            <w:r>
              <w:rPr>
                <w:sz w:val="28"/>
                <w:szCs w:val="28"/>
              </w:rPr>
              <w:t>№</w:t>
            </w:r>
          </w:p>
        </w:tc>
        <w:tc>
          <w:tcPr>
            <w:tcW w:w="10353" w:type="dxa"/>
            <w:tcBorders>
              <w:top w:val="single" w:sz="4" w:space="0" w:color="000000"/>
              <w:left w:val="single" w:sz="4" w:space="0" w:color="000000"/>
              <w:bottom w:val="single" w:sz="4" w:space="0" w:color="000000"/>
            </w:tcBorders>
          </w:tcPr>
          <w:p>
            <w:pPr>
              <w:pStyle w:val="Style9"/>
              <w:widowControl w:val="false"/>
              <w:bidi w:val="0"/>
              <w:ind w:hanging="0" w:left="0" w:right="0"/>
              <w:jc w:val="center"/>
              <w:rPr>
                <w:sz w:val="28"/>
                <w:szCs w:val="28"/>
              </w:rPr>
            </w:pPr>
            <w:r>
              <w:rPr>
                <w:sz w:val="28"/>
                <w:szCs w:val="28"/>
              </w:rPr>
              <w:t>Перечень оснований</w:t>
            </w:r>
          </w:p>
        </w:tc>
        <w:tc>
          <w:tcPr>
            <w:tcW w:w="3426" w:type="dxa"/>
            <w:tcBorders>
              <w:top w:val="single" w:sz="4" w:space="0" w:color="000000"/>
              <w:left w:val="single" w:sz="4" w:space="0" w:color="000000"/>
              <w:bottom w:val="single" w:sz="4" w:space="0" w:color="000000"/>
              <w:right w:val="single" w:sz="4" w:space="0" w:color="000000"/>
            </w:tcBorders>
          </w:tcPr>
          <w:p>
            <w:pPr>
              <w:pStyle w:val="Style9"/>
              <w:widowControl w:val="false"/>
              <w:bidi w:val="0"/>
              <w:ind w:hanging="0" w:left="0" w:right="0"/>
              <w:jc w:val="center"/>
              <w:rPr>
                <w:sz w:val="28"/>
                <w:szCs w:val="28"/>
              </w:rPr>
            </w:pPr>
            <w:r>
              <w:rPr>
                <w:sz w:val="28"/>
                <w:szCs w:val="28"/>
              </w:rPr>
              <w:t>Идентификатор категорий (признаков) заявителей</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1.</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несоответствие категории заявителя кругу лиц, указанных в подразделе 2, Приложении 2 к Регламенту</w:t>
            </w:r>
          </w:p>
        </w:tc>
        <w:tc>
          <w:tcPr>
            <w:tcW w:w="342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2.</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3.</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tc>
        <w:tc>
          <w:tcPr>
            <w:tcW w:w="342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4.</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отзыв запроса по инициативе заявителя</w:t>
            </w:r>
          </w:p>
        </w:tc>
        <w:tc>
          <w:tcPr>
            <w:tcW w:w="342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5.</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tc>
        <w:tc>
          <w:tcPr>
            <w:tcW w:w="342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6.</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размещение садового дома на земельном участке, расположенном в границах зоны затопления, подтопления</w:t>
            </w:r>
          </w:p>
        </w:tc>
        <w:tc>
          <w:tcPr>
            <w:tcW w:w="342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7.</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p>
        </w:tc>
        <w:tc>
          <w:tcPr>
            <w:tcW w:w="342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8.</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отсутствие сведений об установленных границах земельного участка, на котором расположен садовый дом, в ЕГРН</w:t>
            </w:r>
          </w:p>
        </w:tc>
        <w:tc>
          <w:tcPr>
            <w:tcW w:w="342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9.</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отсутствие сведений о местоположении садового дома на земельном участке в ЕГРН</w:t>
            </w:r>
          </w:p>
        </w:tc>
        <w:tc>
          <w:tcPr>
            <w:tcW w:w="342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10.</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w:t>
            </w:r>
          </w:p>
        </w:tc>
        <w:tc>
          <w:tcPr>
            <w:tcW w:w="342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11.</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tc>
        <w:tc>
          <w:tcPr>
            <w:tcW w:w="342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12.</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или жилой дом лица, не являющегося заявителем</w:t>
            </w:r>
          </w:p>
        </w:tc>
        <w:tc>
          <w:tcPr>
            <w:tcW w:w="342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А1 - А3, 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13.</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использование жилого дома заявителем или иным лицом в качестве места постоянного проживания</w:t>
            </w:r>
          </w:p>
        </w:tc>
        <w:tc>
          <w:tcPr>
            <w:tcW w:w="342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14.</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отсутствие сведений об установленных границах земельного участка, на котором расположен жилой дом, в ЕГРН</w:t>
            </w:r>
          </w:p>
        </w:tc>
        <w:tc>
          <w:tcPr>
            <w:tcW w:w="342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Б1 - Б3</w:t>
            </w:r>
          </w:p>
        </w:tc>
      </w:tr>
      <w:tr>
        <w:trPr/>
        <w:tc>
          <w:tcPr>
            <w:tcW w:w="796" w:type="dxa"/>
            <w:tcBorders>
              <w:top w:val="single" w:sz="4" w:space="0" w:color="000000"/>
              <w:left w:val="single" w:sz="4" w:space="0" w:color="000000"/>
              <w:bottom w:val="single" w:sz="4" w:space="0" w:color="000000"/>
            </w:tcBorders>
          </w:tcPr>
          <w:p>
            <w:pPr>
              <w:pStyle w:val="TableContents"/>
              <w:bidi w:val="0"/>
              <w:ind w:hanging="0" w:left="0" w:right="0"/>
              <w:jc w:val="center"/>
              <w:rPr>
                <w:rFonts w:ascii="Times New Roman" w:hAnsi="Times New Roman"/>
                <w:sz w:val="28"/>
                <w:szCs w:val="28"/>
                <w:lang w:val="en-US"/>
              </w:rPr>
            </w:pPr>
            <w:r>
              <w:rPr>
                <w:rFonts w:ascii="Times New Roman" w:hAnsi="Times New Roman"/>
                <w:sz w:val="28"/>
                <w:szCs w:val="28"/>
                <w:lang w:val="en-US"/>
              </w:rPr>
              <w:t>15.</w:t>
            </w:r>
          </w:p>
        </w:tc>
        <w:tc>
          <w:tcPr>
            <w:tcW w:w="10353" w:type="dxa"/>
            <w:tcBorders>
              <w:top w:val="single" w:sz="4" w:space="0" w:color="000000"/>
              <w:left w:val="single" w:sz="4" w:space="0" w:color="000000"/>
              <w:bottom w:val="single" w:sz="4" w:space="0" w:color="000000"/>
            </w:tcBorders>
          </w:tcPr>
          <w:p>
            <w:pPr>
              <w:pStyle w:val="TableContents"/>
              <w:bidi w:val="0"/>
              <w:ind w:hanging="0" w:left="0" w:right="0"/>
              <w:jc w:val="left"/>
              <w:rPr>
                <w:rFonts w:ascii="Times New Roman" w:hAnsi="Times New Roman"/>
                <w:sz w:val="28"/>
                <w:szCs w:val="28"/>
                <w:lang w:val="ru-RU"/>
              </w:rPr>
            </w:pPr>
            <w:r>
              <w:rPr>
                <w:rFonts w:ascii="Times New Roman" w:hAnsi="Times New Roman"/>
                <w:sz w:val="28"/>
                <w:szCs w:val="28"/>
                <w:lang w:val="ru-RU"/>
              </w:rPr>
              <w:t>отсутствие сведений о местоположении жилого дома на земельном участке в ЕГРН</w:t>
            </w:r>
          </w:p>
        </w:tc>
        <w:tc>
          <w:tcPr>
            <w:tcW w:w="3426" w:type="dxa"/>
            <w:tcBorders>
              <w:top w:val="single" w:sz="4" w:space="0" w:color="000000"/>
              <w:left w:val="single" w:sz="4" w:space="0" w:color="000000"/>
              <w:bottom w:val="single" w:sz="4" w:space="0" w:color="000000"/>
              <w:right w:val="single" w:sz="4" w:space="0" w:color="000000"/>
            </w:tcBorders>
          </w:tcPr>
          <w:p>
            <w:pPr>
              <w:pStyle w:val="TableContents"/>
              <w:bidi w:val="0"/>
              <w:ind w:hanging="0" w:left="0" w:right="0"/>
              <w:jc w:val="center"/>
              <w:rPr>
                <w:rFonts w:ascii="Times New Roman" w:hAnsi="Times New Roman"/>
                <w:sz w:val="28"/>
                <w:szCs w:val="28"/>
                <w:lang w:val="ru-RU"/>
              </w:rPr>
            </w:pPr>
            <w:r>
              <w:rPr>
                <w:rFonts w:ascii="Times New Roman" w:hAnsi="Times New Roman"/>
                <w:sz w:val="28"/>
                <w:szCs w:val="28"/>
                <w:lang w:val="ru-RU"/>
              </w:rPr>
              <w:t>Б1 - Б3</w:t>
            </w:r>
          </w:p>
        </w:tc>
      </w:tr>
    </w:tbl>
    <w:p>
      <w:pPr>
        <w:pStyle w:val="Normal"/>
        <w:widowControl w:val="false"/>
        <w:ind w:hanging="0" w:left="0" w:right="0"/>
        <w:rPr>
          <w:vanish/>
          <w:lang w:val="ru-RU"/>
        </w:rPr>
      </w:pPr>
      <w:r>
        <w:rPr>
          <w:vanish/>
          <w:lang w:val="ru-RU"/>
        </w:rPr>
      </w:r>
    </w:p>
    <w:sectPr>
      <w:type w:val="continuous"/>
      <w:pgSz w:orient="landscape" w:w="16838" w:h="11906"/>
      <w:pgMar w:left="1134" w:right="1134" w:gutter="0" w:header="0" w:top="1134" w:footer="0" w:bottom="1134"/>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Calibri">
    <w:charset w:val="01"/>
    <w:family w:val="roman"/>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pStyle w:val="Heading4"/>
      <w:numFmt w:val="none"/>
      <w:suff w:val="nothing"/>
      <w:lvlText w:val="%4"/>
      <w:lvlJc w:val="left"/>
      <w:pPr>
        <w:tabs>
          <w:tab w:val="num" w:pos="0"/>
        </w:tabs>
        <w:ind w:left="0" w:hanging="0"/>
      </w:pPr>
    </w:lvl>
    <w:lvl w:ilvl="4">
      <w:start w:val="1"/>
      <w:pStyle w:val="Heading5"/>
      <w:numFmt w:val="none"/>
      <w:suff w:val="nothing"/>
      <w:lvlText w:val="%5"/>
      <w:lvlJc w:val="left"/>
      <w:pPr>
        <w:tabs>
          <w:tab w:val="num" w:pos="0"/>
        </w:tabs>
        <w:ind w:left="0" w:hanging="0"/>
      </w:pPr>
    </w:lvl>
    <w:lvl w:ilvl="5">
      <w:start w:val="1"/>
      <w:pStyle w:val="Heading6"/>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decimal"/>
      <w:lvlText w:val="%1."/>
      <w:lvlJc w:val="left"/>
      <w:pPr>
        <w:tabs>
          <w:tab w:val="num" w:pos="345"/>
        </w:tabs>
        <w:ind w:left="345" w:hanging="230"/>
      </w:pPr>
      <w:rPr/>
    </w:lvl>
    <w:lvl w:ilvl="1">
      <w:start w:val="1"/>
      <w:numFmt w:val="decimal"/>
      <w:lvlText w:val="%2."/>
      <w:lvlJc w:val="left"/>
      <w:pPr>
        <w:tabs>
          <w:tab w:val="num" w:pos="806"/>
        </w:tabs>
        <w:ind w:left="806" w:hanging="230"/>
      </w:pPr>
      <w:rPr/>
    </w:lvl>
    <w:lvl w:ilvl="2">
      <w:start w:val="1"/>
      <w:numFmt w:val="decimal"/>
      <w:lvlText w:val="%3."/>
      <w:lvlJc w:val="left"/>
      <w:pPr>
        <w:tabs>
          <w:tab w:val="num" w:pos="1267"/>
        </w:tabs>
        <w:ind w:left="1267" w:hanging="230"/>
      </w:pPr>
      <w:rPr/>
    </w:lvl>
    <w:lvl w:ilvl="3">
      <w:start w:val="1"/>
      <w:numFmt w:val="decimal"/>
      <w:lvlText w:val="%4."/>
      <w:lvlJc w:val="left"/>
      <w:pPr>
        <w:tabs>
          <w:tab w:val="num" w:pos="1728"/>
        </w:tabs>
        <w:ind w:left="1728" w:hanging="230"/>
      </w:pPr>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4"/>
      <w:numFmt w:val="decimal"/>
      <w:lvlText w:val="%1."/>
      <w:lvlJc w:val="left"/>
      <w:pPr>
        <w:tabs>
          <w:tab w:val="num" w:pos="0"/>
        </w:tabs>
        <w:ind w:left="35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1">
      <w:start w:val="1"/>
      <w:numFmt w:val="lowerLetter"/>
      <w:lvlText w:val="%2"/>
      <w:lvlJc w:val="left"/>
      <w:pPr>
        <w:tabs>
          <w:tab w:val="num" w:pos="0"/>
        </w:tabs>
        <w:ind w:left="179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2">
      <w:start w:val="1"/>
      <w:numFmt w:val="lowerRoman"/>
      <w:lvlText w:val="%3"/>
      <w:lvlJc w:val="left"/>
      <w:pPr>
        <w:tabs>
          <w:tab w:val="num" w:pos="0"/>
        </w:tabs>
        <w:ind w:left="251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3">
      <w:start w:val="1"/>
      <w:numFmt w:val="decimal"/>
      <w:lvlText w:val="%4"/>
      <w:lvlJc w:val="left"/>
      <w:pPr>
        <w:tabs>
          <w:tab w:val="num" w:pos="0"/>
        </w:tabs>
        <w:ind w:left="323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4">
      <w:start w:val="1"/>
      <w:numFmt w:val="lowerLetter"/>
      <w:lvlText w:val="%5"/>
      <w:lvlJc w:val="left"/>
      <w:pPr>
        <w:tabs>
          <w:tab w:val="num" w:pos="0"/>
        </w:tabs>
        <w:ind w:left="395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5">
      <w:start w:val="1"/>
      <w:numFmt w:val="lowerRoman"/>
      <w:lvlText w:val="%6"/>
      <w:lvlJc w:val="left"/>
      <w:pPr>
        <w:tabs>
          <w:tab w:val="num" w:pos="0"/>
        </w:tabs>
        <w:ind w:left="467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6">
      <w:start w:val="1"/>
      <w:numFmt w:val="decimal"/>
      <w:lvlText w:val="%7"/>
      <w:lvlJc w:val="left"/>
      <w:pPr>
        <w:tabs>
          <w:tab w:val="num" w:pos="0"/>
        </w:tabs>
        <w:ind w:left="539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7">
      <w:start w:val="1"/>
      <w:numFmt w:val="lowerLetter"/>
      <w:lvlText w:val="%8"/>
      <w:lvlJc w:val="left"/>
      <w:pPr>
        <w:tabs>
          <w:tab w:val="num" w:pos="0"/>
        </w:tabs>
        <w:ind w:left="611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8">
      <w:start w:val="1"/>
      <w:numFmt w:val="lowerRoman"/>
      <w:lvlText w:val="%9"/>
      <w:lvlJc w:val="left"/>
      <w:pPr>
        <w:tabs>
          <w:tab w:val="num" w:pos="0"/>
        </w:tabs>
        <w:ind w:left="683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u-RU"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ru-RU" w:eastAsia="zh-CN" w:bidi="hi-IN"/>
    </w:rPr>
  </w:style>
  <w:style w:type="paragraph" w:styleId="Heading1">
    <w:name w:val="Heading 1"/>
    <w:basedOn w:val="Heading"/>
    <w:next w:val="Normal"/>
    <w:qFormat/>
    <w:pPr>
      <w:numPr>
        <w:ilvl w:val="0"/>
        <w:numId w:val="1"/>
      </w:numPr>
      <w:spacing w:before="240" w:after="120"/>
      <w:outlineLvl w:val="0"/>
    </w:pPr>
    <w:rPr>
      <w:b/>
      <w:bCs/>
      <w:sz w:val="36"/>
      <w:szCs w:val="36"/>
    </w:rPr>
  </w:style>
  <w:style w:type="paragraph" w:styleId="Heading2">
    <w:name w:val="Heading 2"/>
    <w:basedOn w:val="Heading"/>
    <w:next w:val="Normal"/>
    <w:qFormat/>
    <w:pPr>
      <w:numPr>
        <w:ilvl w:val="1"/>
        <w:numId w:val="1"/>
      </w:numPr>
      <w:spacing w:before="200" w:after="120"/>
      <w:outlineLvl w:val="1"/>
    </w:pPr>
    <w:rPr>
      <w:b/>
      <w:bCs/>
      <w:sz w:val="32"/>
      <w:szCs w:val="32"/>
    </w:rPr>
  </w:style>
  <w:style w:type="paragraph" w:styleId="Heading3">
    <w:name w:val="Heading 3"/>
    <w:basedOn w:val="Heading"/>
    <w:next w:val="Normal"/>
    <w:qFormat/>
    <w:pPr>
      <w:numPr>
        <w:ilvl w:val="2"/>
        <w:numId w:val="1"/>
      </w:numPr>
      <w:spacing w:before="140" w:after="120"/>
      <w:outlineLvl w:val="2"/>
    </w:pPr>
    <w:rPr>
      <w:b/>
      <w:bCs/>
      <w:color w:val="808080"/>
      <w:sz w:val="28"/>
      <w:szCs w:val="28"/>
    </w:rPr>
  </w:style>
  <w:style w:type="paragraph" w:styleId="Heading4">
    <w:name w:val="Heading 4"/>
    <w:basedOn w:val="Heading"/>
    <w:next w:val="Normal"/>
    <w:qFormat/>
    <w:pPr>
      <w:numPr>
        <w:ilvl w:val="3"/>
        <w:numId w:val="1"/>
      </w:numPr>
      <w:spacing w:before="120" w:after="120"/>
      <w:outlineLvl w:val="3"/>
    </w:pPr>
    <w:rPr>
      <w:b/>
      <w:bCs/>
      <w:i/>
      <w:iCs/>
      <w:color w:val="808080"/>
      <w:sz w:val="27"/>
      <w:szCs w:val="27"/>
    </w:rPr>
  </w:style>
  <w:style w:type="paragraph" w:styleId="Heading5">
    <w:name w:val="Heading 5"/>
    <w:basedOn w:val="Heading"/>
    <w:next w:val="Normal"/>
    <w:qFormat/>
    <w:pPr>
      <w:numPr>
        <w:ilvl w:val="4"/>
        <w:numId w:val="1"/>
      </w:numPr>
      <w:spacing w:before="120" w:after="60"/>
      <w:outlineLvl w:val="4"/>
    </w:pPr>
    <w:rPr>
      <w:b/>
      <w:bCs/>
      <w:sz w:val="24"/>
      <w:szCs w:val="24"/>
    </w:rPr>
  </w:style>
  <w:style w:type="paragraph" w:styleId="Heading6">
    <w:name w:val="Heading 6"/>
    <w:basedOn w:val="Heading"/>
    <w:next w:val="Normal"/>
    <w:qFormat/>
    <w:pPr>
      <w:numPr>
        <w:ilvl w:val="5"/>
        <w:numId w:val="1"/>
      </w:numPr>
      <w:spacing w:before="60" w:after="60"/>
      <w:outlineLvl w:val="5"/>
    </w:pPr>
    <w:rPr>
      <w:b/>
      <w:bCs/>
      <w:i/>
      <w:iCs/>
      <w:sz w:val="24"/>
      <w:szCs w:val="24"/>
    </w:rPr>
  </w:style>
  <w:style w:type="character" w:styleId="PODNumberingSymbols">
    <w:name w:val="POD Numbering Symbols"/>
    <w:qFormat/>
    <w:rPr/>
  </w:style>
  <w:style w:type="character" w:styleId="PODBulletSymbols">
    <w:name w:val="POD Bullet Symbols"/>
    <w:qFormat/>
    <w:rPr/>
  </w:style>
  <w:style w:type="character" w:styleId="WWCharLFO2LVL1">
    <w:name w:val="WW_CharLFO2LVL1"/>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2">
    <w:name w:val="WW_CharLFO2LVL2"/>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3">
    <w:name w:val="WW_CharLFO2LVL3"/>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4">
    <w:name w:val="WW_CharLFO2LVL4"/>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5">
    <w:name w:val="WW_CharLFO2LVL5"/>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6">
    <w:name w:val="WW_CharLFO2LVL6"/>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7">
    <w:name w:val="WW_CharLFO2LVL7"/>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8">
    <w:name w:val="WW_CharLFO2LVL8"/>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9">
    <w:name w:val="WW_CharLFO2LVL9"/>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DefaultParagraphFont">
    <w:name w:val="Default Paragraph Font"/>
    <w:qFormat/>
    <w:rPr/>
  </w:style>
  <w:style w:type="character" w:styleId="Style8">
    <w:name w:val="Цветовое выделение"/>
    <w:qFormat/>
    <w:rPr>
      <w:b/>
      <w:color w:val="26282F"/>
    </w:rPr>
  </w:style>
  <w:style w:type="paragraph" w:styleId="ParaKWN">
    <w:name w:val="ParaKWN"/>
    <w:basedOn w:val="Normal"/>
    <w:qFormat/>
    <w:pPr>
      <w:keepNext w:val="true"/>
    </w:pPr>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podPageBreakBefore">
    <w:name w:val="podPageBreakBefore"/>
    <w:qFormat/>
    <w:pPr>
      <w:pageBreakBefore/>
      <w:widowControl/>
      <w:kinsoku w:val="true"/>
      <w:overflowPunct w:val="true"/>
      <w:autoSpaceDE w:val="true"/>
      <w:bidi w:val="0"/>
      <w:spacing w:before="0" w:after="0"/>
      <w:ind w:left="0" w:right="0"/>
    </w:pPr>
    <w:rPr>
      <w:rFonts w:ascii="Liberation Serif" w:hAnsi="Liberation Serif" w:eastAsia="NSimSun" w:cs="Lucida Sans"/>
      <w:color w:val="auto"/>
      <w:kern w:val="2"/>
      <w:sz w:val="4"/>
      <w:szCs w:val="24"/>
      <w:lang w:val="ru-RU" w:eastAsia="zh-CN" w:bidi="hi-IN"/>
    </w:rPr>
  </w:style>
  <w:style w:type="paragraph" w:styleId="podPageBreakBeforeDuplex">
    <w:name w:val="podPageBreakBeforeDuplex"/>
    <w:basedOn w:val="podPageBreakBefore"/>
    <w:qFormat/>
    <w:pPr>
      <w:pageBreakBefore/>
    </w:pPr>
    <w:rPr/>
  </w:style>
  <w:style w:type="paragraph" w:styleId="podPageBreakAfter">
    <w:name w:val="podPageBreakAfter"/>
    <w:qFormat/>
    <w:pPr>
      <w:widowControl/>
      <w:kinsoku w:val="true"/>
      <w:overflowPunct w:val="true"/>
      <w:autoSpaceDE w:val="true"/>
      <w:bidi w:val="0"/>
      <w:spacing w:before="0" w:after="0"/>
      <w:ind w:left="0" w:right="0"/>
    </w:pPr>
    <w:rPr>
      <w:rFonts w:ascii="Liberation Serif" w:hAnsi="Liberation Serif" w:eastAsia="NSimSun" w:cs="Lucida Sans"/>
      <w:color w:val="auto"/>
      <w:kern w:val="2"/>
      <w:sz w:val="4"/>
      <w:szCs w:val="24"/>
      <w:lang w:val="ru-RU" w:eastAsia="zh-CN" w:bidi="hi-IN"/>
    </w:rPr>
  </w:style>
  <w:style w:type="paragraph" w:styleId="podColumnBreak">
    <w:name w:val="podColumnBreak"/>
    <w:qFormat/>
    <w:pPr>
      <w:widowControl/>
      <w:kinsoku w:val="true"/>
      <w:overflowPunct w:val="true"/>
      <w:autoSpaceDE w:val="true"/>
      <w:bidi w:val="0"/>
    </w:pPr>
    <w:rPr>
      <w:rFonts w:ascii="Liberation Serif" w:hAnsi="Liberation Serif" w:eastAsia="NSimSun" w:cs="Lucida Sans"/>
      <w:color w:val="auto"/>
      <w:kern w:val="2"/>
      <w:sz w:val="24"/>
      <w:szCs w:val="24"/>
      <w:lang w:val="ru-RU" w:eastAsia="zh-CN" w:bidi="hi-IN"/>
    </w:rPr>
  </w:style>
  <w:style w:type="paragraph" w:styleId="podBulletItem">
    <w:name w:val="podBulletItem"/>
    <w:basedOn w:val="Normal"/>
    <w:qFormat/>
    <w:pPr>
      <w:numPr>
        <w:ilvl w:val="0"/>
        <w:numId w:val="3"/>
      </w:numPr>
    </w:pPr>
    <w:rPr/>
  </w:style>
  <w:style w:type="paragraph" w:styleId="podNumberItem">
    <w:name w:val="podNumberItem"/>
    <w:basedOn w:val="Normal"/>
    <w:qFormat/>
    <w:pPr>
      <w:numPr>
        <w:ilvl w:val="0"/>
        <w:numId w:val="2"/>
      </w:numPr>
    </w:pPr>
    <w:rPr/>
  </w:style>
  <w:style w:type="paragraph" w:styleId="podBulletItemKeepWithNext">
    <w:name w:val="podBulletItemKeepWithNext"/>
    <w:basedOn w:val="Normal"/>
    <w:qFormat/>
    <w:pPr>
      <w:keepNext w:val="true"/>
      <w:numPr>
        <w:ilvl w:val="0"/>
        <w:numId w:val="3"/>
      </w:numPr>
    </w:pPr>
    <w:rPr/>
  </w:style>
  <w:style w:type="paragraph" w:styleId="podNumberItemKeepWithNext">
    <w:name w:val="podNumberItemKeepWithNext"/>
    <w:basedOn w:val="Normal"/>
    <w:qFormat/>
    <w:pPr>
      <w:keepNext w:val="true"/>
      <w:numPr>
        <w:ilvl w:val="0"/>
        <w:numId w:val="2"/>
      </w:numPr>
    </w:pPr>
    <w:rPr/>
  </w:style>
  <w:style w:type="paragraph" w:styleId="Tablecell">
    <w:name w:val="Table cell"/>
    <w:basedOn w:val="Normal"/>
    <w:qFormat/>
    <w:pPr>
      <w:suppressLineNumbers/>
      <w:spacing w:before="0" w:after="0"/>
    </w:pPr>
    <w:rPr/>
  </w:style>
  <w:style w:type="paragraph" w:styleId="Tableheading">
    <w:name w:val="Table heading"/>
    <w:basedOn w:val="Tablecell"/>
    <w:qFormat/>
    <w:pPr/>
    <w:rPr>
      <w:b/>
      <w:bCs/>
    </w:rPr>
  </w:style>
  <w:style w:type="paragraph" w:styleId="podTablePara">
    <w:name w:val="podTablePara"/>
    <w:basedOn w:val="Tablecell"/>
    <w:qFormat/>
    <w:pPr/>
    <w:rPr>
      <w:b w:val="false"/>
      <w:bCs w:val="false"/>
      <w:sz w:val="16"/>
    </w:rPr>
  </w:style>
  <w:style w:type="paragraph" w:styleId="podTableParaBold">
    <w:name w:val="podTableParaBold"/>
    <w:basedOn w:val="Tablecell"/>
    <w:qFormat/>
    <w:pPr/>
    <w:rPr>
      <w:b/>
      <w:bCs/>
      <w:sz w:val="16"/>
    </w:rPr>
  </w:style>
  <w:style w:type="paragraph" w:styleId="podTableParaRight">
    <w:name w:val="podTableParaRight"/>
    <w:basedOn w:val="Tablecell"/>
    <w:qFormat/>
    <w:pPr>
      <w:jc w:val="right"/>
    </w:pPr>
    <w:rPr>
      <w:b w:val="false"/>
      <w:bCs w:val="false"/>
      <w:sz w:val="16"/>
    </w:rPr>
  </w:style>
  <w:style w:type="paragraph" w:styleId="podTableParaBoldRight">
    <w:name w:val="podTableParaBoldRight"/>
    <w:basedOn w:val="Tablecell"/>
    <w:qFormat/>
    <w:pPr>
      <w:jc w:val="right"/>
    </w:pPr>
    <w:rPr>
      <w:b/>
      <w:bCs/>
      <w:sz w:val="16"/>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 w:type="paragraph" w:styleId="NormalTable">
    <w:name w:val="Normal Table"/>
    <w:qFormat/>
    <w:pPr>
      <w:widowControl/>
      <w:kinsoku w:val="true"/>
      <w:overflowPunct w:val="true"/>
      <w:autoSpaceDE w:val="true"/>
      <w:bidi w:val="0"/>
      <w:spacing w:lineRule="auto" w:line="256" w:before="0" w:after="160"/>
      <w:jc w:val="left"/>
      <w:textAlignment w:val="auto"/>
    </w:pPr>
    <w:rPr>
      <w:rFonts w:ascii="Calibri" w:hAnsi="Calibri" w:eastAsia="Times New Roman" w:cs="Times New Roman"/>
      <w:color w:val="auto"/>
      <w:kern w:val="2"/>
      <w:sz w:val="22"/>
      <w:szCs w:val="22"/>
      <w:lang w:val="ru-RU" w:eastAsia="en-US" w:bidi="ar-SA"/>
    </w:rPr>
  </w:style>
  <w:style w:type="paragraph" w:styleId="Style9">
    <w:name w:val="Нормальный (таблица)"/>
    <w:basedOn w:val="Normal"/>
    <w:next w:val="Normal"/>
    <w:qFormat/>
    <w:pPr>
      <w:ind w:hanging="0" w:left="0" w:right="0"/>
    </w:pPr>
    <w:rPr/>
  </w:style>
  <w:style w:type="paragraph" w:styleId="Style10">
    <w:name w:val="Прижатый влево"/>
    <w:basedOn w:val="Normal"/>
    <w:next w:val="Normal"/>
    <w:qFormat/>
    <w:pPr>
      <w:ind w:hanging="0" w:left="0" w:right="0"/>
      <w:jc w:val="left"/>
    </w:pPr>
    <w:rPr/>
  </w:style>
  <w:style w:type="paragraph" w:styleId="TableHeading1">
    <w:name w:val="Table Heading1"/>
    <w:basedOn w:val="TableContents"/>
    <w:qFormat/>
    <w:pPr>
      <w:suppressLineNumbers/>
      <w:jc w:val="center"/>
    </w:pPr>
    <w:rPr>
      <w:b/>
      <w:bCs/>
    </w:rPr>
  </w:style>
  <w:style w:type="numbering" w:styleId="podNumberedList">
    <w:name w:val="podNumberedList"/>
    <w:qFormat/>
  </w:style>
  <w:style w:type="numbering" w:styleId="podBulletedList">
    <w:name w:val="podBulleted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8045</TotalTime>
  <Application>LibreOffice/24.2.7.2$Linux_X86_64 LibreOffice_project/420$Build-2</Application>
  <AppVersion>15.0000</AppVersion>
  <Pages>2</Pages>
  <Words>90</Words>
  <Characters>839</Characters>
  <CharactersWithSpaces>900</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2025-08-12T15:30:44Z</dcterms:created>
  <dc:creator/>
  <dc:description/>
  <dc:language>en-US</dc:language>
  <cp:lastModifiedBy/>
  <dcterms:modified xsi:type="dcterms:W3CDTF">2025-11-11T15:09:20Z</dcterms:modified>
  <cp:revision>25</cp:revision>
  <dc:subject/>
  <dc:title>20261015-125218.355840.11112025.result</dc:title>
</cp:coreProperties>
</file>